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122.png" ContentType="image/png"/>
  <Override PartName="/word/media/rId125.png" ContentType="image/png"/>
  <Override PartName="/word/media/rId139.png" ContentType="image/png"/>
  <Override PartName="/word/media/rId142.png" ContentType="image/png"/>
  <Override PartName="/word/media/rId108.png" ContentType="image/png"/>
  <Override PartName="/word/media/rId61.png" ContentType="image/png"/>
  <Override PartName="/word/media/rId117.png" ContentType="image/png"/>
  <Override PartName="/word/media/rId77.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85.png" ContentType="image/png"/>
  <Override PartName="/word/media/rId112.png" ContentType="image/png"/>
  <Override PartName="/word/media/rId130.png" ContentType="image/png"/>
  <Override PartName="/word/media/rId133.png" ContentType="image/png"/>
  <Override PartName="/word/media/rId89.png" ContentType="image/png"/>
  <Override PartName="/word/media/rId92.png" ContentType="image/png"/>
  <Override PartName="/word/media/rId95.png" ContentType="image/png"/>
  <Override PartName="/word/media/rId9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9.png" ContentType="image/png"/>
  <Override PartName="/word/media/rId65.png" ContentType="image/png"/>
  <Override PartName="/word/media/rId103.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LLM Energy Lit Highlights</w:t>
      </w:r>
    </w:p>
    <w:p>
      <w:pPr>
        <w:pStyle w:val="FirstParagraph"/>
      </w:pPr>
    </w:p>
    <w:p>
      <w:pPr>
        <w:pStyle w:val="BodyText"/>
      </w:pPr>
      <w:hyperlink r:id="rId20">
        <w:r>
          <w:rPr>
            <w:rStyle w:val="Hyperlink"/>
          </w:rPr>
          <w:t xml:space="preserve">link to html version: https://tegorman13.github.io/ccl/llm_energy.html</w:t>
        </w:r>
      </w:hyperlink>
    </w:p>
    <w:p>
      <w:pPr>
        <w:pStyle w:val="BodyText"/>
      </w:pPr>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p>
      <w:pPr>
        <w:pStyle w:val="BodyText"/>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p>
      <w:pPr>
        <w:pStyle w:val="BodyText"/>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p>
      <w:pPr>
        <w:pStyle w:val="BodyText"/>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p>
      <w:pPr>
        <w:pStyle w:val="BodyText"/>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p>
      <w:pPr>
        <w:pStyle w:val="BodyText"/>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p>
      <w:pPr>
        <w:pStyle w:val="BodyText"/>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p>
      <w:pPr>
        <w:pStyle w:val="BodyText"/>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p>
      <w:pPr>
        <w:pStyle w:val="BodyText"/>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4533900" cy="9158781"/>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4533900" cy="915878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95378894d1f6798ac8d3d1dc404a76acd8b6ace"/>
    <w:p>
      <w:pPr>
        <w:pStyle w:val="Heading2"/>
      </w:pPr>
      <w:r>
        <w:t xml:space="preserve">AIoT Smart Home via Autonomous LLM Agents.</w:t>
      </w:r>
    </w:p>
    <w:p>
      <w:pPr>
        <w:pStyle w:val="FirstParagraph"/>
      </w:pPr>
      <w:r>
        <w:t xml:space="preserve">Rivkin, D., Hogan, F., Feriani, A., Konar, A., Sigal, A., Liu, X., &amp; Dudek, G. (2024).</w:t>
      </w:r>
      <w:r>
        <w:t xml:space="preserve"> </w:t>
      </w:r>
      <w:r>
        <w:rPr>
          <w:b/>
          <w:bCs/>
        </w:rPr>
        <w:t xml:space="preserve">AIoT Smart Home via Autonomous LLM Agents.</w:t>
      </w:r>
      <w:r>
        <w:t xml:space="preserve"> </w:t>
      </w:r>
      <w:r>
        <w:t xml:space="preserve">IEEE Internet of Things Journal, 1–1. IEEE Internet of Things Journal. https://doi.org/10.1109/JIOT.2024.3471904</w:t>
      </w:r>
    </w:p>
    <w:p>
      <w:pPr>
        <w:pStyle w:val="BodyText"/>
      </w:pPr>
      <w:r>
        <w:t xml:space="preserve">Abstract</w:t>
      </w:r>
    </w:p>
    <w:p>
      <w:pPr>
        <w:pStyle w:val="BodyText"/>
      </w:pPr>
      <w:r>
        <w:t xml:space="preserve">The common-sense reasoning abilities and vast general knowledge of Large Language Models (LLMs) make them a natural fit for interpreting user requests in a smart home assistant context. LLMs, however, lack specific knowledge about the user and their home, which limits their potential impact. SAGE (Smart Home Agent with Grounded Execution), overcomes these and other limitations by using a scheme in which a user request triggers an LLM-controlled sequence of discrete actions. These actions can be used to retrieve information, interact with the user, or manipulate device states. SAGE controls this process through a dynamically constructed tree of LLM prompts, which help it decide which action to take next, whether an action was successful, and when to terminate the process. The SAGE action set augments an LLM’s capabilities to support some of the most critical requirements for a smart home assistant. These include: flexible and scalable user preference management (</w:t>
      </w:r>
      <w:r>
        <w:t xml:space="preserve">“Is my team playing tonight?”</w:t>
      </w:r>
      <w:r>
        <w:t xml:space="preserve">), access to any smart device’s full functionality without device-specific code via API reading (</w:t>
      </w:r>
      <w:r>
        <w:t xml:space="preserve">“Turn down the screen brightness on my dryer”</w:t>
      </w:r>
      <w:r>
        <w:t xml:space="preserve">), persistent device state monitoring (</w:t>
      </w:r>
      <w:r>
        <w:t xml:space="preserve">“Remind me to throw out the milk when I open the fridge”</w:t>
      </w:r>
      <w:r>
        <w:t xml:space="preserve">), natural device references using only a photo of the room (</w:t>
      </w:r>
      <w:r>
        <w:t xml:space="preserve">“Turn on the lamp on the dresser”</w:t>
      </w:r>
      <w:r>
        <w:t xml:space="preserve">), and more. We introduce a benchmark of 50 new and challenging smart home tasks where SAGE achieves a 76% success rate, significantly outperforming existing LLM-enabled baselines (30% success rate).</w:t>
      </w:r>
    </w:p>
    <w:p>
      <w:pPr>
        <w:pStyle w:val="CaptionedFigure"/>
      </w:pPr>
      <w:r>
        <w:drawing>
          <wp:inline>
            <wp:extent cx="5334000" cy="5796151"/>
            <wp:effectExtent b="0" l="0" r="0" t="0"/>
            <wp:docPr descr="Figure from Rivkin et al. (2024)" title="" id="66" name="Picture"/>
            <a:graphic>
              <a:graphicData uri="http://schemas.openxmlformats.org/drawingml/2006/picture">
                <pic:pic>
                  <pic:nvPicPr>
                    <pic:cNvPr descr="images/rivkin1.png" id="67" name="Picture"/>
                    <pic:cNvPicPr>
                      <a:picLocks noChangeArrowheads="1" noChangeAspect="1"/>
                    </pic:cNvPicPr>
                  </pic:nvPicPr>
                  <pic:blipFill>
                    <a:blip r:embed="rId65"/>
                    <a:stretch>
                      <a:fillRect/>
                    </a:stretch>
                  </pic:blipFill>
                  <pic:spPr bwMode="auto">
                    <a:xfrm>
                      <a:off x="0" y="0"/>
                      <a:ext cx="5334000" cy="57961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Rivkin et al. (2024)</w:t>
      </w:r>
    </w:p>
    <w:p>
      <w:r>
        <w:br w:type="page"/>
      </w:r>
    </w:p>
    <w:bookmarkEnd w:id="68"/>
    <w:bookmarkStart w:id="72" w:name="X60c4bd044537b8774fb0c10105077a5b3d6edd7"/>
    <w:p>
      <w:pPr>
        <w:pStyle w:val="Heading2"/>
      </w:pPr>
      <w:r>
        <w:t xml:space="preserve">Leveraging Large Language Models for enhanced personalised user experience in Smart Homes</w:t>
      </w:r>
    </w:p>
    <w:p>
      <w:pPr>
        <w:pStyle w:val="FirstParagraph"/>
      </w:pPr>
      <w:r>
        <w:t xml:space="preserve">Rey-Jouanchicot, J., Bottaro, A., Campo, E., Bouraoui, J.-L., Vigouroux, N., &amp; Vella, F. (2024).</w:t>
      </w:r>
      <w:r>
        <w:t xml:space="preserve"> </w:t>
      </w:r>
      <w:r>
        <w:rPr>
          <w:b/>
          <w:bCs/>
        </w:rPr>
        <w:t xml:space="preserve">Leveraging Large Language Models for enhanced personalised user experience in Smart Homes</w:t>
      </w:r>
      <w:r>
        <w:t xml:space="preserve"> </w:t>
      </w:r>
      <w:r>
        <w:t xml:space="preserve">(No. arXiv:2407.12024). arXiv. http://arxiv.org/abs/2407.12024</w:t>
      </w:r>
    </w:p>
    <w:p>
      <w:pPr>
        <w:pStyle w:val="BodyText"/>
      </w:pPr>
      <w:r>
        <w:t xml:space="preserve">Abstract</w:t>
      </w:r>
    </w:p>
    <w:p>
      <w:pPr>
        <w:pStyle w:val="BodyText"/>
      </w:pPr>
      <w:r>
        <w:t xml:space="preserve">Smart home automation systems aim to improve the comfort and convenience of users in their living environment. However, adapting automation to user needs remains a challenge. Indeed, many systems still rely on hand-crafted routines for each smart object.This paper presents an original smart home architecture leveraging Large Language Models (LLMs) and user preferences to push the boundaries of personalisation and intuitiveness in the home environment.This article explores a human-centred approach that uses the general knowledge provided by LLMs to learn and facilitate interactions with the environment.The advantages of the proposed model are demonstrated on a set of scenarios, as well as a comparative analysis with various LLM implementations. Some metrics are assessed to determine the system’s ability to maintain comfort, safety, and user preferences. The paper details the approach to real-world implementation and evaluation.The proposed approach of using preferences shows up to 52.3% increase in average grade, and with an average processing time reduced by 35.6% on Starling 7B Alpha LLM. In addition, performance is 26.4% better than the results of the larger models without preferences, with processing time almost 20 times faster.</w:t>
      </w:r>
    </w:p>
    <w:p>
      <w:pPr>
        <w:pStyle w:val="CaptionedFigure"/>
      </w:pPr>
      <w:r>
        <w:drawing>
          <wp:inline>
            <wp:extent cx="5334000" cy="2520767"/>
            <wp:effectExtent b="0" l="0" r="0" t="0"/>
            <wp:docPr descr="Figure from Rey-Jouanchicot et al. (2024)" title="" id="70" name="Picture"/>
            <a:graphic>
              <a:graphicData uri="http://schemas.openxmlformats.org/drawingml/2006/picture">
                <pic:pic>
                  <pic:nvPicPr>
                    <pic:cNvPr descr="images/rey1.png" id="71" name="Picture"/>
                    <pic:cNvPicPr>
                      <a:picLocks noChangeArrowheads="1" noChangeAspect="1"/>
                    </pic:cNvPicPr>
                  </pic:nvPicPr>
                  <pic:blipFill>
                    <a:blip r:embed="rId69"/>
                    <a:stretch>
                      <a:fillRect/>
                    </a:stretch>
                  </pic:blipFill>
                  <pic:spPr bwMode="auto">
                    <a:xfrm>
                      <a:off x="0" y="0"/>
                      <a:ext cx="5334000" cy="252076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Rey-Jouanchicot et al. (2024)</w:t>
      </w:r>
    </w:p>
    <w:p>
      <w:r>
        <w:br w:type="page"/>
      </w:r>
    </w:p>
    <w:bookmarkEnd w:id="72"/>
    <w:bookmarkStart w:id="76"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74" name="Picture"/>
            <a:graphic>
              <a:graphicData uri="http://schemas.openxmlformats.org/drawingml/2006/picture">
                <pic:pic>
                  <pic:nvPicPr>
                    <pic:cNvPr descr="images/Calo1.png" id="75" name="Picture"/>
                    <pic:cNvPicPr>
                      <a:picLocks noChangeArrowheads="1" noChangeAspect="1"/>
                    </pic:cNvPicPr>
                  </pic:nvPicPr>
                  <pic:blipFill>
                    <a:blip r:embed="rId73"/>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76"/>
    <w:bookmarkStart w:id="80"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78" name="Picture"/>
            <a:graphic>
              <a:graphicData uri="http://schemas.openxmlformats.org/drawingml/2006/picture">
                <pic:pic>
                  <pic:nvPicPr>
                    <pic:cNvPr descr="images/Jin1.png" id="79" name="Picture"/>
                    <pic:cNvPicPr>
                      <a:picLocks noChangeArrowheads="1" noChangeAspect="1"/>
                    </pic:cNvPicPr>
                  </pic:nvPicPr>
                  <pic:blipFill>
                    <a:blip r:embed="rId77"/>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p>
      <w:r>
        <w:br w:type="page"/>
      </w:r>
    </w:p>
    <w:bookmarkEnd w:id="80"/>
    <w:bookmarkStart w:id="84" w:name="Xdbfbc94b42f9daf037017b604cc6dee4905e6c1"/>
    <w:p>
      <w:pPr>
        <w:pStyle w:val="Heading2"/>
      </w:pPr>
      <w:r>
        <w:t xml:space="preserve">Harmony: A Home Agent for Responsive Management and Action Optimization with a Locally Deployed Large Language Model</w:t>
      </w:r>
    </w:p>
    <w:p>
      <w:pPr>
        <w:pStyle w:val="FirstParagraph"/>
      </w:pPr>
      <w:r>
        <w:t xml:space="preserve">Yin, Z., Zhang, M., &amp; Kawahara, D. (2024).</w:t>
      </w:r>
      <w:r>
        <w:t xml:space="preserve"> </w:t>
      </w:r>
      <w:r>
        <w:rPr>
          <w:b/>
          <w:bCs/>
        </w:rPr>
        <w:t xml:space="preserve">Harmony: A Home Agent for Responsive Management and Action Optimization with a Locally Deployed Large Language Model</w:t>
      </w:r>
      <w:r>
        <w:t xml:space="preserve"> </w:t>
      </w:r>
      <w:r>
        <w:t xml:space="preserve">(No. arXiv:2410.14252). arXiv. http://arxiv.org/abs/2410.14252</w:t>
      </w:r>
    </w:p>
    <w:p>
      <w:pPr>
        <w:pStyle w:val="BodyText"/>
      </w:pPr>
      <w:r>
        <w:t xml:space="preserve">Abstract</w:t>
      </w:r>
    </w:p>
    <w:p>
      <w:pPr>
        <w:pStyle w:val="BodyText"/>
      </w:pPr>
      <w:r>
        <w:t xml:space="preserve">Since the launch of GPT-3.5, intelligent home assistant technology based on large language models (LLMs) has made significant progress. These intelligent home assistant frameworks, such as those based on high-performance LLMs like GPT-4, have greatly expanded their functional range and application scenarios by computing on the cloud, enriching user experience and diversification. In order to optimize the privacy and economy of data processing while maintaining the powerful functions of LLMs, we propose Harmony, a smart home assistant framework that uses a locally deployable small-scale LLM. Based on Llama3-8b, an open LLM that can be easily deployed on a consumer-grade PC, Harmony does not send any data to the internet during operation, ensuring local computation and privacy secured. Harmony based on Llama3-8b achieved competitive performance on our benchmark tests with the framework used in related work with GPT-4. In addition to solving the issues mentioned above, Harmony can also take actions according to the user and home status, even if the user does not issue a command. For example, when the user wants to wake up later than normal on the weekend, Harmony would open the curtains only when the user gets up or prepare the room when the user comes home without requiring user commands.</w:t>
      </w:r>
    </w:p>
    <w:p>
      <w:pPr>
        <w:pStyle w:val="CaptionedFigure"/>
      </w:pPr>
      <w:r>
        <w:drawing>
          <wp:inline>
            <wp:extent cx="5334000" cy="2157573"/>
            <wp:effectExtent b="0" l="0" r="0" t="0"/>
            <wp:docPr descr="Figure from Yin et al. (2024)" title="" id="82" name="Picture"/>
            <a:graphic>
              <a:graphicData uri="http://schemas.openxmlformats.org/drawingml/2006/picture">
                <pic:pic>
                  <pic:nvPicPr>
                    <pic:cNvPr descr="images/yin1.png" id="83" name="Picture"/>
                    <pic:cNvPicPr>
                      <a:picLocks noChangeArrowheads="1" noChangeAspect="1"/>
                    </pic:cNvPicPr>
                  </pic:nvPicPr>
                  <pic:blipFill>
                    <a:blip r:embed="rId81"/>
                    <a:stretch>
                      <a:fillRect/>
                    </a:stretch>
                  </pic:blipFill>
                  <pic:spPr bwMode="auto">
                    <a:xfrm>
                      <a:off x="0" y="0"/>
                      <a:ext cx="5334000" cy="2157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Yin et al. (2024)</w:t>
      </w:r>
    </w:p>
    <w:p>
      <w:r>
        <w:br w:type="page"/>
      </w:r>
    </w:p>
    <w:bookmarkEnd w:id="84"/>
    <w:bookmarkStart w:id="88"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86" name="Picture"/>
            <a:graphic>
              <a:graphicData uri="http://schemas.openxmlformats.org/drawingml/2006/picture">
                <pic:pic>
                  <pic:nvPicPr>
                    <pic:cNvPr descr="images/Li1.png" id="87" name="Picture"/>
                    <pic:cNvPicPr>
                      <a:picLocks noChangeArrowheads="1" noChangeAspect="1"/>
                    </pic:cNvPicPr>
                  </pic:nvPicPr>
                  <pic:blipFill>
                    <a:blip r:embed="rId85"/>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88"/>
    <w:bookmarkStart w:id="102"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p>
      <w:pPr>
        <w:pStyle w:val="BodyText"/>
      </w:pPr>
      <w:r>
        <w:drawing>
          <wp:inline>
            <wp:extent cx="5334000" cy="4674289"/>
            <wp:effectExtent b="0" l="0" r="0" t="0"/>
            <wp:docPr descr="" title="" id="90" name="Picture"/>
            <a:graphic>
              <a:graphicData uri="http://schemas.openxmlformats.org/drawingml/2006/picture">
                <pic:pic>
                  <pic:nvPicPr>
                    <pic:cNvPr descr="images/Saleh1.png" id="91" name="Picture"/>
                    <pic:cNvPicPr>
                      <a:picLocks noChangeArrowheads="1" noChangeAspect="1"/>
                    </pic:cNvPicPr>
                  </pic:nvPicPr>
                  <pic:blipFill>
                    <a:blip r:embed="rId89"/>
                    <a:stretch>
                      <a:fillRect/>
                    </a:stretch>
                  </pic:blipFill>
                  <pic:spPr bwMode="auto">
                    <a:xfrm>
                      <a:off x="0" y="0"/>
                      <a:ext cx="5334000" cy="4674289"/>
                    </a:xfrm>
                    <a:prstGeom prst="rect">
                      <a:avLst/>
                    </a:prstGeom>
                    <a:noFill/>
                    <a:ln w="9525">
                      <a:noFill/>
                      <a:headEnd/>
                      <a:tailEnd/>
                    </a:ln>
                  </pic:spPr>
                </pic:pic>
              </a:graphicData>
            </a:graphic>
          </wp:inline>
        </w:drawing>
      </w:r>
    </w:p>
    <w:p>
      <w:pPr>
        <w:pStyle w:val="BodyText"/>
      </w:pPr>
      <w:r>
        <w:drawing>
          <wp:inline>
            <wp:extent cx="5334000" cy="3268910"/>
            <wp:effectExtent b="0" l="0" r="0" t="0"/>
            <wp:docPr descr="" title="" id="93" name="Picture"/>
            <a:graphic>
              <a:graphicData uri="http://schemas.openxmlformats.org/drawingml/2006/picture">
                <pic:pic>
                  <pic:nvPicPr>
                    <pic:cNvPr descr="images/Saleh2.png" id="94" name="Picture"/>
                    <pic:cNvPicPr>
                      <a:picLocks noChangeArrowheads="1" noChangeAspect="1"/>
                    </pic:cNvPicPr>
                  </pic:nvPicPr>
                  <pic:blipFill>
                    <a:blip r:embed="rId92"/>
                    <a:stretch>
                      <a:fillRect/>
                    </a:stretch>
                  </pic:blipFill>
                  <pic:spPr bwMode="auto">
                    <a:xfrm>
                      <a:off x="0" y="0"/>
                      <a:ext cx="5334000" cy="3268910"/>
                    </a:xfrm>
                    <a:prstGeom prst="rect">
                      <a:avLst/>
                    </a:prstGeom>
                    <a:noFill/>
                    <a:ln w="9525">
                      <a:noFill/>
                      <a:headEnd/>
                      <a:tailEnd/>
                    </a:ln>
                  </pic:spPr>
                </pic:pic>
              </a:graphicData>
            </a:graphic>
          </wp:inline>
        </w:drawing>
      </w:r>
    </w:p>
    <w:bookmarkStart w:id="101"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96" name="Picture"/>
                  <a:graphic>
                    <a:graphicData uri="http://schemas.openxmlformats.org/drawingml/2006/picture">
                      <pic:pic>
                        <pic:nvPicPr>
                          <pic:cNvPr descr="images/Saleh3.png" id="97" name="Picture"/>
                          <pic:cNvPicPr>
                            <a:picLocks noChangeArrowheads="1" noChangeAspect="1"/>
                          </pic:cNvPicPr>
                        </pic:nvPicPr>
                        <pic:blipFill>
                          <a:blip r:embed="rId95"/>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99" name="Picture"/>
                  <a:graphic>
                    <a:graphicData uri="http://schemas.openxmlformats.org/drawingml/2006/picture">
                      <pic:pic>
                        <pic:nvPicPr>
                          <pic:cNvPr descr="images/Saleh4.png" id="100" name="Picture"/>
                          <pic:cNvPicPr>
                            <a:picLocks noChangeArrowheads="1" noChangeAspect="1"/>
                          </pic:cNvPicPr>
                        </pic:nvPicPr>
                        <pic:blipFill>
                          <a:blip r:embed="rId98"/>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101"/>
    <w:p>
      <w:r>
        <w:br w:type="page"/>
      </w:r>
    </w:p>
    <w:bookmarkEnd w:id="102"/>
    <w:bookmarkStart w:id="106"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Yang et al. (2024)" title="" id="104" name="Picture"/>
            <a:graphic>
              <a:graphicData uri="http://schemas.openxmlformats.org/drawingml/2006/picture">
                <pic:pic>
                  <pic:nvPicPr>
                    <pic:cNvPr descr="images/yang_twin1.png" id="105" name="Picture"/>
                    <pic:cNvPicPr>
                      <a:picLocks noChangeArrowheads="1" noChangeAspect="1"/>
                    </pic:cNvPicPr>
                  </pic:nvPicPr>
                  <pic:blipFill>
                    <a:blip r:embed="rId103"/>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Yang et al. (2024)</w:t>
      </w:r>
    </w:p>
    <w:p>
      <w:r>
        <w:br w:type="page"/>
      </w:r>
    </w:p>
    <w:bookmarkEnd w:id="106"/>
    <w:bookmarkStart w:id="107"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107"/>
    <w:bookmarkStart w:id="111"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109" name="Picture"/>
            <a:graphic>
              <a:graphicData uri="http://schemas.openxmlformats.org/drawingml/2006/picture">
                <pic:pic>
                  <pic:nvPicPr>
                    <pic:cNvPr descr="images/Giraldo1.png" id="110" name="Picture"/>
                    <pic:cNvPicPr>
                      <a:picLocks noChangeArrowheads="1" noChangeAspect="1"/>
                    </pic:cNvPicPr>
                  </pic:nvPicPr>
                  <pic:blipFill>
                    <a:blip r:embed="rId108"/>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111"/>
    <w:bookmarkStart w:id="115"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113" name="Picture"/>
            <a:graphic>
              <a:graphicData uri="http://schemas.openxmlformats.org/drawingml/2006/picture">
                <pic:pic>
                  <pic:nvPicPr>
                    <pic:cNvPr descr="images/Lu1.png" id="114" name="Picture"/>
                    <pic:cNvPicPr>
                      <a:picLocks noChangeArrowheads="1" noChangeAspect="1"/>
                    </pic:cNvPicPr>
                  </pic:nvPicPr>
                  <pic:blipFill>
                    <a:blip r:embed="rId112"/>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115"/>
    <w:bookmarkStart w:id="116"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16"/>
    <w:bookmarkStart w:id="120"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18" name="Picture"/>
            <a:graphic>
              <a:graphicData uri="http://schemas.openxmlformats.org/drawingml/2006/picture">
                <pic:pic>
                  <pic:nvPicPr>
                    <pic:cNvPr descr="images/Hiremath.png" id="119" name="Picture"/>
                    <pic:cNvPicPr>
                      <a:picLocks noChangeArrowheads="1" noChangeAspect="1"/>
                    </pic:cNvPicPr>
                  </pic:nvPicPr>
                  <pic:blipFill>
                    <a:blip r:embed="rId117"/>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20"/>
    <w:bookmarkStart w:id="121"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21"/>
    <w:bookmarkStart w:id="129"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28"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23" name="Picture"/>
                  <a:graphic>
                    <a:graphicData uri="http://schemas.openxmlformats.org/drawingml/2006/picture">
                      <pic:pic>
                        <pic:nvPicPr>
                          <pic:cNvPr descr="images/Civitarese1.png" id="124" name="Picture"/>
                          <pic:cNvPicPr>
                            <a:picLocks noChangeArrowheads="1" noChangeAspect="1"/>
                          </pic:cNvPicPr>
                        </pic:nvPicPr>
                        <pic:blipFill>
                          <a:blip r:embed="rId122"/>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26" name="Picture"/>
                  <a:graphic>
                    <a:graphicData uri="http://schemas.openxmlformats.org/drawingml/2006/picture">
                      <pic:pic>
                        <pic:nvPicPr>
                          <pic:cNvPr descr="images/Civitarese2.png" id="127" name="Picture"/>
                          <pic:cNvPicPr>
                            <a:picLocks noChangeArrowheads="1" noChangeAspect="1"/>
                          </pic:cNvPicPr>
                        </pic:nvPicPr>
                        <pic:blipFill>
                          <a:blip r:embed="rId125"/>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28"/>
    <w:p>
      <w:r>
        <w:br w:type="page"/>
      </w:r>
    </w:p>
    <w:bookmarkEnd w:id="129"/>
    <w:bookmarkStart w:id="137"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36"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31" name="Picture"/>
                  <a:graphic>
                    <a:graphicData uri="http://schemas.openxmlformats.org/drawingml/2006/picture">
                      <pic:pic>
                        <pic:nvPicPr>
                          <pic:cNvPr descr="images/Mongaillard1.png" id="132" name="Picture"/>
                          <pic:cNvPicPr>
                            <a:picLocks noChangeArrowheads="1" noChangeAspect="1"/>
                          </pic:cNvPicPr>
                        </pic:nvPicPr>
                        <pic:blipFill>
                          <a:blip r:embed="rId130"/>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34" name="Picture"/>
                  <a:graphic>
                    <a:graphicData uri="http://schemas.openxmlformats.org/drawingml/2006/picture">
                      <pic:pic>
                        <pic:nvPicPr>
                          <pic:cNvPr descr="images/Mongaillard2.png" id="135" name="Picture"/>
                          <pic:cNvPicPr>
                            <a:picLocks noChangeArrowheads="1" noChangeAspect="1"/>
                          </pic:cNvPicPr>
                        </pic:nvPicPr>
                        <pic:blipFill>
                          <a:blip r:embed="rId133"/>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36"/>
    <w:p>
      <w:r>
        <w:br w:type="page"/>
      </w:r>
    </w:p>
    <w:bookmarkEnd w:id="137"/>
    <w:bookmarkStart w:id="138"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38"/>
    <w:bookmarkStart w:id="146"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45"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40" name="Picture"/>
                  <a:graphic>
                    <a:graphicData uri="http://schemas.openxmlformats.org/drawingml/2006/picture">
                      <pic:pic>
                        <pic:nvPicPr>
                          <pic:cNvPr descr="images/Gallo1.png" id="141" name="Picture"/>
                          <pic:cNvPicPr>
                            <a:picLocks noChangeArrowheads="1" noChangeAspect="1"/>
                          </pic:cNvPicPr>
                        </pic:nvPicPr>
                        <pic:blipFill>
                          <a:blip r:embed="rId139"/>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43" name="Picture"/>
                  <a:graphic>
                    <a:graphicData uri="http://schemas.openxmlformats.org/drawingml/2006/picture">
                      <pic:pic>
                        <pic:nvPicPr>
                          <pic:cNvPr descr="images/Gallo2.png" id="144" name="Picture"/>
                          <pic:cNvPicPr>
                            <a:picLocks noChangeArrowheads="1" noChangeAspect="1"/>
                          </pic:cNvPicPr>
                        </pic:nvPicPr>
                        <pic:blipFill>
                          <a:blip r:embed="rId142"/>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45"/>
    <w:p>
      <w:r>
        <w:br w:type="page"/>
      </w:r>
    </w:p>
    <w:bookmarkEnd w:id="146"/>
    <w:bookmarkStart w:id="190" w:name="references"/>
    <w:p>
      <w:pPr>
        <w:pStyle w:val="Heading2"/>
      </w:pPr>
      <w:r>
        <w:t xml:space="preserve">References</w:t>
      </w:r>
    </w:p>
    <w:bookmarkStart w:id="189" w:name="refs"/>
    <w:bookmarkStart w:id="148"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47">
        <w:r>
          <w:rPr>
            <w:rStyle w:val="Hyperlink"/>
          </w:rPr>
          <w:t xml:space="preserve">https://doi.org/10.1145/3632775.3661993</w:t>
        </w:r>
      </w:hyperlink>
    </w:p>
    <w:bookmarkEnd w:id="148"/>
    <w:bookmarkStart w:id="150"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49">
        <w:r>
          <w:rPr>
            <w:rStyle w:val="Hyperlink"/>
          </w:rPr>
          <w:t xml:space="preserve">https://doi.org/10.1007/s00779-024-01827-3</w:t>
        </w:r>
      </w:hyperlink>
    </w:p>
    <w:bookmarkEnd w:id="150"/>
    <w:bookmarkStart w:id="152"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51">
        <w:r>
          <w:rPr>
            <w:rStyle w:val="Hyperlink"/>
          </w:rPr>
          <w:t xml:space="preserve">https://arxiv.org/abs/2407.01238</w:t>
        </w:r>
      </w:hyperlink>
    </w:p>
    <w:bookmarkEnd w:id="152"/>
    <w:bookmarkStart w:id="154"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53">
        <w:r>
          <w:rPr>
            <w:rStyle w:val="Hyperlink"/>
          </w:rPr>
          <w:t xml:space="preserve">https://doi.org/10.1007/s00779-024-01825-5</w:t>
        </w:r>
      </w:hyperlink>
    </w:p>
    <w:bookmarkEnd w:id="154"/>
    <w:bookmarkStart w:id="156"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55">
        <w:r>
          <w:rPr>
            <w:rStyle w:val="Hyperlink"/>
          </w:rPr>
          <w:t xml:space="preserve">https://doi.org/10.3390/designs8030043</w:t>
        </w:r>
      </w:hyperlink>
    </w:p>
    <w:bookmarkEnd w:id="156"/>
    <w:bookmarkStart w:id="158"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57">
        <w:r>
          <w:rPr>
            <w:rStyle w:val="Hyperlink"/>
          </w:rPr>
          <w:t xml:space="preserve">https://doi.org/10.1145/3675094.3678444</w:t>
        </w:r>
      </w:hyperlink>
    </w:p>
    <w:bookmarkEnd w:id="158"/>
    <w:bookmarkStart w:id="160"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59">
        <w:r>
          <w:rPr>
            <w:rStyle w:val="Hyperlink"/>
          </w:rPr>
          <w:t xml:space="preserve">https://doi.org/10.1145/3613905.3650774</w:t>
        </w:r>
      </w:hyperlink>
    </w:p>
    <w:bookmarkEnd w:id="160"/>
    <w:bookmarkStart w:id="162"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61">
        <w:r>
          <w:rPr>
            <w:rStyle w:val="Hyperlink"/>
          </w:rPr>
          <w:t xml:space="preserve">https://arxiv.org/abs/2308.10380</w:t>
        </w:r>
      </w:hyperlink>
    </w:p>
    <w:bookmarkEnd w:id="162"/>
    <w:bookmarkStart w:id="164"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63">
        <w:r>
          <w:rPr>
            <w:rStyle w:val="Hyperlink"/>
          </w:rPr>
          <w:t xml:space="preserve">https://arxiv.org/abs/2407.05674</w:t>
        </w:r>
      </w:hyperlink>
    </w:p>
    <w:bookmarkEnd w:id="164"/>
    <w:bookmarkStart w:id="166"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165">
        <w:r>
          <w:rPr>
            <w:rStyle w:val="Hyperlink"/>
          </w:rPr>
          <w:t xml:space="preserve">https://doi.org/10.1145/3643505</w:t>
        </w:r>
      </w:hyperlink>
    </w:p>
    <w:bookmarkEnd w:id="166"/>
    <w:bookmarkStart w:id="168"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167">
        <w:r>
          <w:rPr>
            <w:rStyle w:val="Hyperlink"/>
          </w:rPr>
          <w:t xml:space="preserve">https://arxiv.org/abs/2405.03821</w:t>
        </w:r>
      </w:hyperlink>
    </w:p>
    <w:bookmarkEnd w:id="168"/>
    <w:bookmarkStart w:id="170"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169">
        <w:r>
          <w:rPr>
            <w:rStyle w:val="Hyperlink"/>
          </w:rPr>
          <w:t xml:space="preserve">https://arxiv.org/abs/2406.03317</w:t>
        </w:r>
      </w:hyperlink>
    </w:p>
    <w:bookmarkEnd w:id="170"/>
    <w:bookmarkStart w:id="172"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171">
        <w:r>
          <w:rPr>
            <w:rStyle w:val="Hyperlink"/>
          </w:rPr>
          <w:t xml:space="preserve">https://doi.org/10.1016/j.enbenv.2024.03.010</w:t>
        </w:r>
      </w:hyperlink>
    </w:p>
    <w:bookmarkEnd w:id="172"/>
    <w:bookmarkStart w:id="174"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173">
        <w:r>
          <w:rPr>
            <w:rStyle w:val="Hyperlink"/>
          </w:rPr>
          <w:t xml:space="preserve">https://arxiv.org/abs/2407.00476</w:t>
        </w:r>
      </w:hyperlink>
    </w:p>
    <w:bookmarkEnd w:id="174"/>
    <w:bookmarkStart w:id="176"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175">
        <w:r>
          <w:rPr>
            <w:rStyle w:val="Hyperlink"/>
          </w:rPr>
          <w:t xml:space="preserve">https://doi.org/10.3390/s24113530</w:t>
        </w:r>
      </w:hyperlink>
    </w:p>
    <w:bookmarkEnd w:id="176"/>
    <w:bookmarkStart w:id="178" w:name="X5224a8b378549fe5132ab692ebfc6bda5fc37c1"/>
    <w:p>
      <w:pPr>
        <w:pStyle w:val="Bibliography"/>
      </w:pPr>
      <w:r>
        <w:t xml:space="preserve">Rey-Jouanchicot, J., Bottaro, A., Campo, E., Bouraoui, J.-L., Vigouroux, N., &amp; Vella, F. (2024).</w:t>
      </w:r>
      <w:r>
        <w:t xml:space="preserve"> </w:t>
      </w:r>
      <w:r>
        <w:rPr>
          <w:i/>
          <w:iCs/>
        </w:rPr>
        <w:t xml:space="preserve">Leveraging</w:t>
      </w:r>
      <w:r>
        <w:rPr>
          <w:i/>
          <w:iCs/>
        </w:rPr>
        <w:t xml:space="preserve"> </w:t>
      </w:r>
      <w:r>
        <w:rPr>
          <w:i/>
          <w:iCs/>
        </w:rPr>
        <w:t xml:space="preserve">Large Language Models</w:t>
      </w:r>
      <w:r>
        <w:rPr>
          <w:i/>
          <w:iCs/>
        </w:rPr>
        <w:t xml:space="preserve"> </w:t>
      </w:r>
      <w:r>
        <w:rPr>
          <w:i/>
          <w:iCs/>
        </w:rPr>
        <w:t xml:space="preserve">for enhanced personalised user experience in</w:t>
      </w:r>
      <w:r>
        <w:rPr>
          <w:i/>
          <w:iCs/>
        </w:rPr>
        <w:t xml:space="preserve"> </w:t>
      </w:r>
      <w:r>
        <w:rPr>
          <w:i/>
          <w:iCs/>
        </w:rPr>
        <w:t xml:space="preserve">Smart Homes</w:t>
      </w:r>
      <w:r>
        <w:t xml:space="preserve"> </w:t>
      </w:r>
      <w:r>
        <w:t xml:space="preserve">(arXiv:2407.12024). arXiv.</w:t>
      </w:r>
      <w:r>
        <w:t xml:space="preserve"> </w:t>
      </w:r>
      <w:hyperlink r:id="rId177">
        <w:r>
          <w:rPr>
            <w:rStyle w:val="Hyperlink"/>
          </w:rPr>
          <w:t xml:space="preserve">https://arxiv.org/abs/2407.12024</w:t>
        </w:r>
      </w:hyperlink>
    </w:p>
    <w:bookmarkEnd w:id="178"/>
    <w:bookmarkStart w:id="180" w:name="ref-rivkinAIoTSmartHome2024"/>
    <w:p>
      <w:pPr>
        <w:pStyle w:val="Bibliography"/>
      </w:pPr>
      <w:r>
        <w:t xml:space="preserve">Rivkin, D., Hogan, F., Feriani, A., Konar, A., Sigal, A., Liu, X., &amp; Dudek, G. (2024).</w:t>
      </w:r>
      <w:r>
        <w:t xml:space="preserve"> </w:t>
      </w:r>
      <w:r>
        <w:t xml:space="preserve">AIoT Smart Home</w:t>
      </w:r>
      <w:r>
        <w:t xml:space="preserve"> </w:t>
      </w:r>
      <w:r>
        <w:t xml:space="preserve">via</w:t>
      </w:r>
      <w:r>
        <w:t xml:space="preserve"> </w:t>
      </w:r>
      <w:r>
        <w:t xml:space="preserve">Autonomous LLM Agents</w:t>
      </w:r>
      <w:r>
        <w:t xml:space="preserve">.</w:t>
      </w:r>
      <w:r>
        <w:t xml:space="preserve"> </w:t>
      </w:r>
      <w:r>
        <w:rPr>
          <w:i/>
          <w:iCs/>
        </w:rPr>
        <w:t xml:space="preserve">IEEE Internet of Things Journal</w:t>
      </w:r>
      <w:r>
        <w:t xml:space="preserve">, 1–1.</w:t>
      </w:r>
      <w:r>
        <w:t xml:space="preserve"> </w:t>
      </w:r>
      <w:hyperlink r:id="rId179">
        <w:r>
          <w:rPr>
            <w:rStyle w:val="Hyperlink"/>
          </w:rPr>
          <w:t xml:space="preserve">https://doi.org/10.1109/JIOT.2024.3471904</w:t>
        </w:r>
      </w:hyperlink>
    </w:p>
    <w:bookmarkEnd w:id="180"/>
    <w:bookmarkStart w:id="182"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181">
        <w:r>
          <w:rPr>
            <w:rStyle w:val="Hyperlink"/>
          </w:rPr>
          <w:t xml:space="preserve">https://arxiv.org/abs/2404.12486</w:t>
        </w:r>
      </w:hyperlink>
    </w:p>
    <w:bookmarkEnd w:id="182"/>
    <w:bookmarkStart w:id="184"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183">
        <w:r>
          <w:rPr>
            <w:rStyle w:val="Hyperlink"/>
          </w:rPr>
          <w:t xml:space="preserve">https://arxiv.org/abs/2403.16809</w:t>
        </w:r>
      </w:hyperlink>
    </w:p>
    <w:bookmarkEnd w:id="184"/>
    <w:bookmarkStart w:id="186" w:name="ref-yinHarmonyHomeAgent2024"/>
    <w:p>
      <w:pPr>
        <w:pStyle w:val="Bibliography"/>
      </w:pPr>
      <w:r>
        <w:t xml:space="preserve">Yin, Z., Zhang, M., &amp; Kawahara, D. (2024).</w:t>
      </w:r>
      <w:r>
        <w:t xml:space="preserve"> </w:t>
      </w:r>
      <w:r>
        <w:rPr>
          <w:i/>
          <w:iCs/>
        </w:rPr>
        <w:t xml:space="preserve">Harmony:</w:t>
      </w:r>
      <w:r>
        <w:rPr>
          <w:i/>
          <w:iCs/>
        </w:rPr>
        <w:t xml:space="preserve"> </w:t>
      </w:r>
      <w:r>
        <w:rPr>
          <w:i/>
          <w:iCs/>
        </w:rPr>
        <w:t xml:space="preserve">A Home Agent</w:t>
      </w:r>
      <w:r>
        <w:rPr>
          <w:i/>
          <w:iCs/>
        </w:rPr>
        <w:t xml:space="preserve"> </w:t>
      </w:r>
      <w:r>
        <w:rPr>
          <w:i/>
          <w:iCs/>
        </w:rPr>
        <w:t xml:space="preserve">for</w:t>
      </w:r>
      <w:r>
        <w:rPr>
          <w:i/>
          <w:iCs/>
        </w:rPr>
        <w:t xml:space="preserve"> </w:t>
      </w:r>
      <w:r>
        <w:rPr>
          <w:i/>
          <w:iCs/>
        </w:rPr>
        <w:t xml:space="preserve">Responsive Management</w:t>
      </w:r>
      <w:r>
        <w:rPr>
          <w:i/>
          <w:iCs/>
        </w:rPr>
        <w:t xml:space="preserve"> </w:t>
      </w:r>
      <w:r>
        <w:rPr>
          <w:i/>
          <w:iCs/>
        </w:rPr>
        <w:t xml:space="preserve">and</w:t>
      </w:r>
      <w:r>
        <w:rPr>
          <w:i/>
          <w:iCs/>
        </w:rPr>
        <w:t xml:space="preserve"> </w:t>
      </w:r>
      <w:r>
        <w:rPr>
          <w:i/>
          <w:iCs/>
        </w:rPr>
        <w:t xml:space="preserve">Action Optimization</w:t>
      </w:r>
      <w:r>
        <w:rPr>
          <w:i/>
          <w:iCs/>
        </w:rPr>
        <w:t xml:space="preserve"> </w:t>
      </w:r>
      <w:r>
        <w:rPr>
          <w:i/>
          <w:iCs/>
        </w:rPr>
        <w:t xml:space="preserve">with a</w:t>
      </w:r>
      <w:r>
        <w:rPr>
          <w:i/>
          <w:iCs/>
        </w:rPr>
        <w:t xml:space="preserve"> </w:t>
      </w:r>
      <w:r>
        <w:rPr>
          <w:i/>
          <w:iCs/>
        </w:rPr>
        <w:t xml:space="preserve">Locally Deployed Large Language Model</w:t>
      </w:r>
      <w:r>
        <w:t xml:space="preserve"> </w:t>
      </w:r>
      <w:r>
        <w:t xml:space="preserve">(arXiv:2410.14252). arXiv.</w:t>
      </w:r>
      <w:r>
        <w:t xml:space="preserve"> </w:t>
      </w:r>
      <w:hyperlink r:id="rId185">
        <w:r>
          <w:rPr>
            <w:rStyle w:val="Hyperlink"/>
          </w:rPr>
          <w:t xml:space="preserve">https://arxiv.org/abs/2410.14252</w:t>
        </w:r>
      </w:hyperlink>
    </w:p>
    <w:bookmarkEnd w:id="186"/>
    <w:bookmarkStart w:id="188"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187">
        <w:r>
          <w:rPr>
            <w:rStyle w:val="Hyperlink"/>
          </w:rPr>
          <w:t xml:space="preserve">https://doi.org/10.1016/j.apenergy.2024.124378</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61" Target="media/rId61.png" /><Relationship Type="http://schemas.openxmlformats.org/officeDocument/2006/relationships/image" Id="rId117" Target="media/rId117.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_rels/footnotes.xml.rels><?xml version="1.0" encoding="UTF-8"?><Relationships xmlns="http://schemas.openxmlformats.org/package/2006/relationships"><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LLM Energy Lit Highlights</dc:title>
  <dc:creator/>
  <cp:keywords/>
  <dcterms:created xsi:type="dcterms:W3CDTF">2025-03-26T09:21:41Z</dcterms:created>
  <dcterms:modified xsi:type="dcterms:W3CDTF">2025-03-26T09:21:41Z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